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1508E" w14:textId="77777777" w:rsidR="009F16AB" w:rsidRPr="009F16AB" w:rsidRDefault="009F16AB" w:rsidP="009F16AB">
      <w:pPr>
        <w:keepNext/>
        <w:keepLines/>
        <w:widowControl/>
        <w:spacing w:before="480"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US"/>
        </w:rPr>
      </w:pPr>
      <w:r w:rsidRPr="009F16A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US"/>
        </w:rPr>
        <w:t>Supplementary Information</w:t>
      </w:r>
    </w:p>
    <w:p w14:paraId="655C31B9" w14:textId="77777777" w:rsidR="009F16AB" w:rsidRPr="009F16AB" w:rsidRDefault="009F16AB" w:rsidP="009F16AB">
      <w:pPr>
        <w:widowControl/>
        <w:spacing w:after="200" w:line="276" w:lineRule="auto"/>
        <w:rPr>
          <w:rFonts w:ascii="Calibri" w:eastAsia="等线" w:hAnsi="Calibri" w:cs="Times New Roman"/>
          <w:kern w:val="0"/>
          <w:sz w:val="22"/>
          <w:lang w:eastAsia="en-US"/>
        </w:rPr>
      </w:pPr>
    </w:p>
    <w:p w14:paraId="1CEC73C1" w14:textId="10E422D8" w:rsidR="009F16AB" w:rsidRPr="009F16AB" w:rsidRDefault="00C20E85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  <w:r w:rsidRPr="00C20E85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Supplementary Table 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1. Processing Parameters</w:t>
      </w:r>
    </w:p>
    <w:p w14:paraId="36217C05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1"/>
        <w:gridCol w:w="1221"/>
        <w:gridCol w:w="1758"/>
        <w:gridCol w:w="2571"/>
      </w:tblGrid>
      <w:tr w:rsidR="009F16AB" w:rsidRPr="009F16AB" w14:paraId="757F9209" w14:textId="77777777" w:rsidTr="00DF406E">
        <w:trPr>
          <w:trHeight w:val="271"/>
          <w:jc w:val="center"/>
        </w:trPr>
        <w:tc>
          <w:tcPr>
            <w:tcW w:w="0" w:type="auto"/>
            <w:vAlign w:val="center"/>
          </w:tcPr>
          <w:p w14:paraId="3D9F9B8A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Category</w:t>
            </w:r>
          </w:p>
        </w:tc>
        <w:tc>
          <w:tcPr>
            <w:tcW w:w="0" w:type="auto"/>
            <w:vAlign w:val="center"/>
          </w:tcPr>
          <w:p w14:paraId="2F1EE12A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No.</w:t>
            </w:r>
          </w:p>
        </w:tc>
        <w:tc>
          <w:tcPr>
            <w:tcW w:w="0" w:type="auto"/>
            <w:vAlign w:val="center"/>
          </w:tcPr>
          <w:p w14:paraId="4EB0CE8A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Name</w:t>
            </w:r>
          </w:p>
        </w:tc>
        <w:tc>
          <w:tcPr>
            <w:tcW w:w="0" w:type="auto"/>
            <w:vAlign w:val="center"/>
          </w:tcPr>
          <w:p w14:paraId="6FF06C81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Description</w:t>
            </w:r>
          </w:p>
        </w:tc>
      </w:tr>
      <w:tr w:rsidR="009F16AB" w:rsidRPr="009F16AB" w14:paraId="6E0F3378" w14:textId="77777777" w:rsidTr="00DF406E">
        <w:trPr>
          <w:trHeight w:val="263"/>
          <w:jc w:val="center"/>
        </w:trPr>
        <w:tc>
          <w:tcPr>
            <w:tcW w:w="0" w:type="auto"/>
            <w:vMerge w:val="restart"/>
            <w:vAlign w:val="center"/>
          </w:tcPr>
          <w:p w14:paraId="3A12692B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en-US"/>
              </w:rPr>
              <w:t>Processing Parameters</w:t>
            </w:r>
          </w:p>
        </w:tc>
        <w:tc>
          <w:tcPr>
            <w:tcW w:w="0" w:type="auto"/>
            <w:vAlign w:val="center"/>
          </w:tcPr>
          <w:p w14:paraId="6F5960D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0" w:type="auto"/>
          </w:tcPr>
          <w:p w14:paraId="52E64B7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Calcination temperature</w:t>
            </w:r>
          </w:p>
        </w:tc>
        <w:tc>
          <w:tcPr>
            <w:tcW w:w="0" w:type="auto"/>
          </w:tcPr>
          <w:p w14:paraId="67E8EE6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Temperature used during calcination</w:t>
            </w:r>
          </w:p>
        </w:tc>
      </w:tr>
      <w:tr w:rsidR="009F16AB" w:rsidRPr="009F16AB" w14:paraId="7D2F2932" w14:textId="77777777" w:rsidTr="00DF406E">
        <w:trPr>
          <w:trHeight w:val="170"/>
          <w:jc w:val="center"/>
        </w:trPr>
        <w:tc>
          <w:tcPr>
            <w:tcW w:w="0" w:type="auto"/>
            <w:vMerge/>
          </w:tcPr>
          <w:p w14:paraId="5836701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B75FE30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0" w:type="auto"/>
          </w:tcPr>
          <w:p w14:paraId="38A5524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Calcination time</w:t>
            </w:r>
          </w:p>
        </w:tc>
        <w:tc>
          <w:tcPr>
            <w:tcW w:w="0" w:type="auto"/>
          </w:tcPr>
          <w:p w14:paraId="395140C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Duration of calcinations </w:t>
            </w:r>
          </w:p>
        </w:tc>
      </w:tr>
      <w:tr w:rsidR="009F16AB" w:rsidRPr="009F16AB" w14:paraId="592CD96F" w14:textId="77777777" w:rsidTr="00DF406E">
        <w:trPr>
          <w:trHeight w:val="170"/>
          <w:jc w:val="center"/>
        </w:trPr>
        <w:tc>
          <w:tcPr>
            <w:tcW w:w="0" w:type="auto"/>
            <w:vMerge/>
          </w:tcPr>
          <w:p w14:paraId="154C5CA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D8A2A89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0" w:type="auto"/>
          </w:tcPr>
          <w:p w14:paraId="288E9D6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Sintering temperature</w:t>
            </w:r>
          </w:p>
        </w:tc>
        <w:tc>
          <w:tcPr>
            <w:tcW w:w="0" w:type="auto"/>
          </w:tcPr>
          <w:p w14:paraId="0238D41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Final sintering temperature</w:t>
            </w:r>
          </w:p>
        </w:tc>
      </w:tr>
      <w:tr w:rsidR="009F16AB" w:rsidRPr="009F16AB" w14:paraId="1A8FDAD6" w14:textId="77777777" w:rsidTr="00DF406E">
        <w:trPr>
          <w:trHeight w:val="170"/>
          <w:jc w:val="center"/>
        </w:trPr>
        <w:tc>
          <w:tcPr>
            <w:tcW w:w="0" w:type="auto"/>
            <w:vMerge/>
          </w:tcPr>
          <w:p w14:paraId="289E4CD2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BF5E86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0" w:type="auto"/>
          </w:tcPr>
          <w:p w14:paraId="03E2C37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Sintering time</w:t>
            </w:r>
          </w:p>
        </w:tc>
        <w:tc>
          <w:tcPr>
            <w:tcW w:w="0" w:type="auto"/>
          </w:tcPr>
          <w:p w14:paraId="2D72721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Duration of sintering</w:t>
            </w:r>
          </w:p>
        </w:tc>
      </w:tr>
      <w:tr w:rsidR="009F16AB" w:rsidRPr="009F16AB" w14:paraId="5186268B" w14:textId="77777777" w:rsidTr="00DF406E">
        <w:trPr>
          <w:trHeight w:val="170"/>
          <w:jc w:val="center"/>
        </w:trPr>
        <w:tc>
          <w:tcPr>
            <w:tcW w:w="0" w:type="auto"/>
            <w:vMerge/>
          </w:tcPr>
          <w:p w14:paraId="1BCB0E9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7FBC8AA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0" w:type="auto"/>
          </w:tcPr>
          <w:p w14:paraId="714E0DBA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Heating rate</w:t>
            </w:r>
          </w:p>
        </w:tc>
        <w:tc>
          <w:tcPr>
            <w:tcW w:w="0" w:type="auto"/>
          </w:tcPr>
          <w:p w14:paraId="5A718EF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Rate of temperature increase</w:t>
            </w:r>
          </w:p>
        </w:tc>
      </w:tr>
      <w:tr w:rsidR="009F16AB" w:rsidRPr="009F16AB" w14:paraId="784B7F58" w14:textId="77777777" w:rsidTr="00DF406E">
        <w:trPr>
          <w:trHeight w:val="170"/>
          <w:jc w:val="center"/>
        </w:trPr>
        <w:tc>
          <w:tcPr>
            <w:tcW w:w="0" w:type="auto"/>
            <w:vMerge/>
          </w:tcPr>
          <w:p w14:paraId="22817EA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CE4DCE7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0" w:type="auto"/>
          </w:tcPr>
          <w:p w14:paraId="52FB7D02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Cooling rate</w:t>
            </w:r>
          </w:p>
        </w:tc>
        <w:tc>
          <w:tcPr>
            <w:tcW w:w="0" w:type="auto"/>
          </w:tcPr>
          <w:p w14:paraId="14F78F92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Rate of cooling after sintering</w:t>
            </w:r>
          </w:p>
        </w:tc>
      </w:tr>
      <w:tr w:rsidR="009F16AB" w:rsidRPr="009F16AB" w14:paraId="02472D9D" w14:textId="77777777" w:rsidTr="00DF406E">
        <w:trPr>
          <w:trHeight w:val="170"/>
          <w:jc w:val="center"/>
        </w:trPr>
        <w:tc>
          <w:tcPr>
            <w:tcW w:w="0" w:type="auto"/>
            <w:vMerge/>
          </w:tcPr>
          <w:p w14:paraId="036152BA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7AF5182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0" w:type="auto"/>
          </w:tcPr>
          <w:p w14:paraId="2BD6BAF3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Milling time</w:t>
            </w:r>
          </w:p>
        </w:tc>
        <w:tc>
          <w:tcPr>
            <w:tcW w:w="0" w:type="auto"/>
          </w:tcPr>
          <w:p w14:paraId="67CEC422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Duration of mechanical milling</w:t>
            </w:r>
          </w:p>
        </w:tc>
      </w:tr>
      <w:tr w:rsidR="009F16AB" w:rsidRPr="009F16AB" w14:paraId="4BD7926E" w14:textId="77777777" w:rsidTr="00DF406E">
        <w:trPr>
          <w:trHeight w:val="170"/>
          <w:jc w:val="center"/>
        </w:trPr>
        <w:tc>
          <w:tcPr>
            <w:tcW w:w="0" w:type="auto"/>
            <w:vMerge/>
          </w:tcPr>
          <w:p w14:paraId="7FAD8AAA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FADA986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0" w:type="auto"/>
          </w:tcPr>
          <w:p w14:paraId="044D5DB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Ball-to-powder ratio</w:t>
            </w:r>
          </w:p>
        </w:tc>
        <w:tc>
          <w:tcPr>
            <w:tcW w:w="0" w:type="auto"/>
          </w:tcPr>
          <w:p w14:paraId="2710D56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Ratio used during milling</w:t>
            </w:r>
          </w:p>
        </w:tc>
      </w:tr>
      <w:tr w:rsidR="009F16AB" w:rsidRPr="009F16AB" w14:paraId="00E7AF9B" w14:textId="77777777" w:rsidTr="00DF406E">
        <w:trPr>
          <w:trHeight w:val="170"/>
          <w:jc w:val="center"/>
        </w:trPr>
        <w:tc>
          <w:tcPr>
            <w:tcW w:w="0" w:type="auto"/>
            <w:vMerge/>
          </w:tcPr>
          <w:p w14:paraId="281960C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0A26B76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0" w:type="auto"/>
          </w:tcPr>
          <w:p w14:paraId="22017E6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Compaction pressure</w:t>
            </w:r>
          </w:p>
        </w:tc>
        <w:tc>
          <w:tcPr>
            <w:tcW w:w="0" w:type="auto"/>
          </w:tcPr>
          <w:p w14:paraId="2E5B556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Ratio used during milling</w:t>
            </w:r>
          </w:p>
        </w:tc>
      </w:tr>
      <w:tr w:rsidR="009F16AB" w:rsidRPr="009F16AB" w14:paraId="205AFF89" w14:textId="77777777" w:rsidTr="00DF406E">
        <w:trPr>
          <w:trHeight w:val="170"/>
          <w:jc w:val="center"/>
        </w:trPr>
        <w:tc>
          <w:tcPr>
            <w:tcW w:w="0" w:type="auto"/>
            <w:vMerge/>
          </w:tcPr>
          <w:p w14:paraId="53486B5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C4B55A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0" w:type="auto"/>
          </w:tcPr>
          <w:p w14:paraId="1122CE6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Annealing temperature</w:t>
            </w:r>
          </w:p>
        </w:tc>
        <w:tc>
          <w:tcPr>
            <w:tcW w:w="0" w:type="auto"/>
          </w:tcPr>
          <w:p w14:paraId="7F55F9BF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Post-sintering annealing temperature</w:t>
            </w:r>
          </w:p>
        </w:tc>
      </w:tr>
    </w:tbl>
    <w:p w14:paraId="5E09FB04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3FEFB6E6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6A48655A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766518B1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1F7126D4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52EB557A" w14:textId="4CE2AAA0" w:rsidR="009F16AB" w:rsidRPr="009F16AB" w:rsidRDefault="00C20E85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  <w:r w:rsidRPr="00C20E85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Supplementary Table 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2. Structural parameters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5"/>
        <w:gridCol w:w="1215"/>
        <w:gridCol w:w="2619"/>
        <w:gridCol w:w="2887"/>
      </w:tblGrid>
      <w:tr w:rsidR="009F16AB" w:rsidRPr="009F16AB" w14:paraId="607904F1" w14:textId="77777777" w:rsidTr="00DF406E">
        <w:trPr>
          <w:trHeight w:val="227"/>
          <w:jc w:val="center"/>
        </w:trPr>
        <w:tc>
          <w:tcPr>
            <w:tcW w:w="0" w:type="auto"/>
            <w:vAlign w:val="center"/>
          </w:tcPr>
          <w:p w14:paraId="293B0795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Category</w:t>
            </w:r>
          </w:p>
        </w:tc>
        <w:tc>
          <w:tcPr>
            <w:tcW w:w="0" w:type="auto"/>
            <w:vAlign w:val="center"/>
          </w:tcPr>
          <w:p w14:paraId="589EA5E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No.</w:t>
            </w:r>
          </w:p>
        </w:tc>
        <w:tc>
          <w:tcPr>
            <w:tcW w:w="0" w:type="auto"/>
            <w:vAlign w:val="center"/>
          </w:tcPr>
          <w:p w14:paraId="5950B49D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Name</w:t>
            </w:r>
          </w:p>
        </w:tc>
        <w:tc>
          <w:tcPr>
            <w:tcW w:w="0" w:type="auto"/>
            <w:vAlign w:val="center"/>
          </w:tcPr>
          <w:p w14:paraId="082DCF5E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Description</w:t>
            </w:r>
          </w:p>
        </w:tc>
      </w:tr>
      <w:tr w:rsidR="009F16AB" w:rsidRPr="009F16AB" w14:paraId="3FFA57BF" w14:textId="77777777" w:rsidTr="00DF406E">
        <w:trPr>
          <w:trHeight w:val="227"/>
          <w:jc w:val="center"/>
        </w:trPr>
        <w:tc>
          <w:tcPr>
            <w:tcW w:w="0" w:type="auto"/>
            <w:vMerge w:val="restart"/>
            <w:vAlign w:val="center"/>
          </w:tcPr>
          <w:p w14:paraId="1DBF6972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en-US"/>
              </w:rPr>
              <w:t>Structural parameters</w:t>
            </w:r>
          </w:p>
        </w:tc>
        <w:tc>
          <w:tcPr>
            <w:tcW w:w="0" w:type="auto"/>
            <w:vAlign w:val="center"/>
          </w:tcPr>
          <w:p w14:paraId="533CF05D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0" w:type="auto"/>
          </w:tcPr>
          <w:p w14:paraId="63DDF13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Lattice parameter a</w:t>
            </w:r>
          </w:p>
        </w:tc>
        <w:tc>
          <w:tcPr>
            <w:tcW w:w="0" w:type="auto"/>
          </w:tcPr>
          <w:p w14:paraId="547C4F4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Unit cell parameter a</w:t>
            </w:r>
          </w:p>
        </w:tc>
      </w:tr>
      <w:tr w:rsidR="009F16AB" w:rsidRPr="009F16AB" w14:paraId="27C4D871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0205050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59E4100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0" w:type="auto"/>
          </w:tcPr>
          <w:p w14:paraId="7330489C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Lattice parameter b</w:t>
            </w:r>
          </w:p>
        </w:tc>
        <w:tc>
          <w:tcPr>
            <w:tcW w:w="0" w:type="auto"/>
          </w:tcPr>
          <w:p w14:paraId="1E5E6E9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Unit cell parameter b</w:t>
            </w:r>
          </w:p>
        </w:tc>
      </w:tr>
      <w:tr w:rsidR="009F16AB" w:rsidRPr="009F16AB" w14:paraId="4D30EFE8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45B0352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3F2F0C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0" w:type="auto"/>
          </w:tcPr>
          <w:p w14:paraId="6A0CE30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Lattice parameter c</w:t>
            </w:r>
          </w:p>
        </w:tc>
        <w:tc>
          <w:tcPr>
            <w:tcW w:w="0" w:type="auto"/>
          </w:tcPr>
          <w:p w14:paraId="0B6F703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Unit cell parameter c</w:t>
            </w:r>
          </w:p>
        </w:tc>
      </w:tr>
      <w:tr w:rsidR="009F16AB" w:rsidRPr="009F16AB" w14:paraId="16B4FD5E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69706FC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97CC644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0" w:type="auto"/>
          </w:tcPr>
          <w:p w14:paraId="62CECF2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Unit cell volume</w:t>
            </w:r>
          </w:p>
        </w:tc>
        <w:tc>
          <w:tcPr>
            <w:tcW w:w="0" w:type="auto"/>
          </w:tcPr>
          <w:p w14:paraId="32EF058F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Calculated unit cell volume</w:t>
            </w:r>
          </w:p>
        </w:tc>
      </w:tr>
      <w:tr w:rsidR="009F16AB" w:rsidRPr="009F16AB" w14:paraId="02509856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3868BE6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55CC17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0" w:type="auto"/>
          </w:tcPr>
          <w:p w14:paraId="7277DD5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Crystallite size</w:t>
            </w:r>
          </w:p>
        </w:tc>
        <w:tc>
          <w:tcPr>
            <w:tcW w:w="0" w:type="auto"/>
          </w:tcPr>
          <w:p w14:paraId="7B72E88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Average crystallite size (Scherrer method)</w:t>
            </w:r>
          </w:p>
        </w:tc>
      </w:tr>
      <w:tr w:rsidR="009F16AB" w:rsidRPr="009F16AB" w14:paraId="3376C9E4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68F0BB62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6519BE2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0" w:type="auto"/>
          </w:tcPr>
          <w:p w14:paraId="33D6128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Lattice strain</w:t>
            </w:r>
          </w:p>
        </w:tc>
        <w:tc>
          <w:tcPr>
            <w:tcW w:w="0" w:type="auto"/>
          </w:tcPr>
          <w:p w14:paraId="3692A95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Microstrain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 from W-H analysis</w:t>
            </w:r>
          </w:p>
        </w:tc>
      </w:tr>
      <w:tr w:rsidR="009F16AB" w:rsidRPr="009F16AB" w14:paraId="20CA5191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6F2C098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775F70E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0" w:type="auto"/>
          </w:tcPr>
          <w:p w14:paraId="53938F5A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Peak intensity (XRD)</w:t>
            </w:r>
          </w:p>
        </w:tc>
        <w:tc>
          <w:tcPr>
            <w:tcW w:w="0" w:type="auto"/>
          </w:tcPr>
          <w:p w14:paraId="5EEF638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Maximum XRD peak intensity</w:t>
            </w:r>
          </w:p>
        </w:tc>
      </w:tr>
      <w:tr w:rsidR="009F16AB" w:rsidRPr="009F16AB" w14:paraId="123DFC39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0CA7F68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2A869A3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0" w:type="auto"/>
          </w:tcPr>
          <w:p w14:paraId="31E9639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Peak position</w:t>
            </w:r>
          </w:p>
        </w:tc>
        <w:tc>
          <w:tcPr>
            <w:tcW w:w="0" w:type="auto"/>
          </w:tcPr>
          <w:p w14:paraId="619E555F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Diffraction peak position</w:t>
            </w:r>
          </w:p>
        </w:tc>
      </w:tr>
      <w:tr w:rsidR="009F16AB" w:rsidRPr="009F16AB" w14:paraId="7A0FDC06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6F01E0F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620176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0" w:type="auto"/>
          </w:tcPr>
          <w:p w14:paraId="082FBDB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Full width at half maximum (FWHM)</w:t>
            </w:r>
          </w:p>
        </w:tc>
        <w:tc>
          <w:tcPr>
            <w:tcW w:w="0" w:type="auto"/>
          </w:tcPr>
          <w:p w14:paraId="2A8CE3E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Peak broadening parameter</w:t>
            </w:r>
          </w:p>
        </w:tc>
      </w:tr>
      <w:tr w:rsidR="009F16AB" w:rsidRPr="009F16AB" w14:paraId="67711FFE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4D78BA7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B96D488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0" w:type="auto"/>
          </w:tcPr>
          <w:p w14:paraId="546422B2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Phase purity index</w:t>
            </w:r>
          </w:p>
        </w:tc>
        <w:tc>
          <w:tcPr>
            <w:tcW w:w="0" w:type="auto"/>
          </w:tcPr>
          <w:p w14:paraId="2093F6D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Fraction of orthorhombic phase</w:t>
            </w:r>
          </w:p>
        </w:tc>
      </w:tr>
    </w:tbl>
    <w:p w14:paraId="79E55293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Calibri" w:eastAsia="等线" w:hAnsi="Calibri" w:cs="Times New Roman"/>
          <w:kern w:val="0"/>
          <w:sz w:val="22"/>
          <w:lang w:eastAsia="en-US"/>
        </w:rPr>
      </w:pPr>
    </w:p>
    <w:p w14:paraId="6D9DC28B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583D3320" w14:textId="7CB6BB5F" w:rsidR="009F16AB" w:rsidRPr="009F16AB" w:rsidRDefault="00C20E85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  <w:r w:rsidRPr="00C20E85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Supplementary Table 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3. </w:t>
      </w:r>
      <w:proofErr w:type="spellStart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DielectricProperties</w:t>
      </w:r>
      <w:proofErr w:type="spellEnd"/>
    </w:p>
    <w:p w14:paraId="3EDF2A5E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36"/>
        <w:gridCol w:w="1221"/>
        <w:gridCol w:w="2206"/>
        <w:gridCol w:w="2215"/>
      </w:tblGrid>
      <w:tr w:rsidR="009F16AB" w:rsidRPr="009F16AB" w14:paraId="7B5231CA" w14:textId="77777777" w:rsidTr="00DF406E">
        <w:trPr>
          <w:trHeight w:val="227"/>
          <w:jc w:val="center"/>
        </w:trPr>
        <w:tc>
          <w:tcPr>
            <w:tcW w:w="0" w:type="auto"/>
            <w:vAlign w:val="center"/>
          </w:tcPr>
          <w:p w14:paraId="12692687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Category</w:t>
            </w:r>
          </w:p>
        </w:tc>
        <w:tc>
          <w:tcPr>
            <w:tcW w:w="0" w:type="auto"/>
            <w:vAlign w:val="center"/>
          </w:tcPr>
          <w:p w14:paraId="66F7BC5E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No.</w:t>
            </w:r>
          </w:p>
        </w:tc>
        <w:tc>
          <w:tcPr>
            <w:tcW w:w="0" w:type="auto"/>
            <w:vAlign w:val="center"/>
          </w:tcPr>
          <w:p w14:paraId="49024C3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Name</w:t>
            </w:r>
          </w:p>
        </w:tc>
        <w:tc>
          <w:tcPr>
            <w:tcW w:w="0" w:type="auto"/>
            <w:vAlign w:val="center"/>
          </w:tcPr>
          <w:p w14:paraId="7833EE84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Description</w:t>
            </w:r>
          </w:p>
        </w:tc>
      </w:tr>
      <w:tr w:rsidR="009F16AB" w:rsidRPr="009F16AB" w14:paraId="3BFF7F28" w14:textId="77777777" w:rsidTr="00DF406E">
        <w:trPr>
          <w:trHeight w:val="227"/>
          <w:jc w:val="center"/>
        </w:trPr>
        <w:tc>
          <w:tcPr>
            <w:tcW w:w="0" w:type="auto"/>
            <w:vMerge w:val="restart"/>
            <w:vAlign w:val="center"/>
          </w:tcPr>
          <w:p w14:paraId="1B4D0BB2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en-US"/>
              </w:rPr>
              <w:t>Dielectric Properties</w:t>
            </w:r>
          </w:p>
        </w:tc>
        <w:tc>
          <w:tcPr>
            <w:tcW w:w="0" w:type="auto"/>
            <w:vAlign w:val="center"/>
          </w:tcPr>
          <w:p w14:paraId="75C66222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0" w:type="auto"/>
          </w:tcPr>
          <w:p w14:paraId="56AFB493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Dielectric constant (1 kHz)</w:t>
            </w:r>
          </w:p>
        </w:tc>
        <w:tc>
          <w:tcPr>
            <w:tcW w:w="0" w:type="auto"/>
          </w:tcPr>
          <w:p w14:paraId="2DAF5FE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εr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 measured at 1 kHz</w:t>
            </w:r>
          </w:p>
        </w:tc>
      </w:tr>
      <w:tr w:rsidR="009F16AB" w:rsidRPr="009F16AB" w14:paraId="1444624A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53BDF1A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8EB8DF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0" w:type="auto"/>
          </w:tcPr>
          <w:p w14:paraId="3FB347A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Dielectric constant (10 kHz)</w:t>
            </w:r>
          </w:p>
        </w:tc>
        <w:tc>
          <w:tcPr>
            <w:tcW w:w="0" w:type="auto"/>
          </w:tcPr>
          <w:p w14:paraId="5BD1A21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εr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 measured at 10 kHz</w:t>
            </w:r>
          </w:p>
        </w:tc>
      </w:tr>
      <w:tr w:rsidR="009F16AB" w:rsidRPr="009F16AB" w14:paraId="24D9AFC3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1E7B761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16F3073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0" w:type="auto"/>
          </w:tcPr>
          <w:p w14:paraId="21A24D33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Dielectric constant (100 kHz)</w:t>
            </w:r>
          </w:p>
        </w:tc>
        <w:tc>
          <w:tcPr>
            <w:tcW w:w="0" w:type="auto"/>
          </w:tcPr>
          <w:p w14:paraId="6A78517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εr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 measured at 100 kHz</w:t>
            </w:r>
          </w:p>
        </w:tc>
      </w:tr>
      <w:tr w:rsidR="009F16AB" w:rsidRPr="009F16AB" w14:paraId="7D65F4B8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4E389B1D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CA3881E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0" w:type="auto"/>
          </w:tcPr>
          <w:p w14:paraId="58A9C5E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Dielectric constant (1 MHz)</w:t>
            </w:r>
          </w:p>
        </w:tc>
        <w:tc>
          <w:tcPr>
            <w:tcW w:w="0" w:type="auto"/>
          </w:tcPr>
          <w:p w14:paraId="041A3B6A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εr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 measured at 1 MHz</w:t>
            </w:r>
          </w:p>
        </w:tc>
      </w:tr>
      <w:tr w:rsidR="009F16AB" w:rsidRPr="009F16AB" w14:paraId="645D3BCE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4B6A454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6F0C089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0" w:type="auto"/>
          </w:tcPr>
          <w:p w14:paraId="1D17186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Dielectric loss (1 kHz)</w:t>
            </w:r>
          </w:p>
        </w:tc>
        <w:tc>
          <w:tcPr>
            <w:tcW w:w="0" w:type="auto"/>
          </w:tcPr>
          <w:p w14:paraId="1A0F9F4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tanδ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 measured at 1 kHz</w:t>
            </w:r>
          </w:p>
        </w:tc>
      </w:tr>
      <w:tr w:rsidR="009F16AB" w:rsidRPr="009F16AB" w14:paraId="19ACFDD0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67CC3AB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0F508AC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0" w:type="auto"/>
          </w:tcPr>
          <w:p w14:paraId="735A7CE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Dielectric loss (10 kHz)</w:t>
            </w:r>
          </w:p>
        </w:tc>
        <w:tc>
          <w:tcPr>
            <w:tcW w:w="0" w:type="auto"/>
          </w:tcPr>
          <w:p w14:paraId="7177BD7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tanδ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 measured at 10 kHz</w:t>
            </w:r>
          </w:p>
        </w:tc>
      </w:tr>
      <w:tr w:rsidR="009F16AB" w:rsidRPr="009F16AB" w14:paraId="3B0DAA16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1C91DE3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306D307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0" w:type="auto"/>
          </w:tcPr>
          <w:p w14:paraId="57DA6E5C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Dielectric loss (100 kHz)</w:t>
            </w:r>
          </w:p>
        </w:tc>
        <w:tc>
          <w:tcPr>
            <w:tcW w:w="0" w:type="auto"/>
          </w:tcPr>
          <w:p w14:paraId="71C8AFD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tanδ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 measured at 100 kHz</w:t>
            </w:r>
          </w:p>
        </w:tc>
      </w:tr>
      <w:tr w:rsidR="009F16AB" w:rsidRPr="009F16AB" w14:paraId="06C635A7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1642DAA6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DCABED1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0" w:type="auto"/>
          </w:tcPr>
          <w:p w14:paraId="0607075C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Dielectric loss (1 MHz)</w:t>
            </w:r>
          </w:p>
        </w:tc>
        <w:tc>
          <w:tcPr>
            <w:tcW w:w="0" w:type="auto"/>
          </w:tcPr>
          <w:p w14:paraId="56B20713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tanδ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 xml:space="preserve"> measured at 1 MHz</w:t>
            </w:r>
          </w:p>
        </w:tc>
      </w:tr>
      <w:tr w:rsidR="009F16AB" w:rsidRPr="009F16AB" w14:paraId="5080D5E6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7D0501A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41DA0DD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0" w:type="auto"/>
          </w:tcPr>
          <w:p w14:paraId="3FB10A7D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Dielectric relaxation frequency</w:t>
            </w:r>
          </w:p>
        </w:tc>
        <w:tc>
          <w:tcPr>
            <w:tcW w:w="0" w:type="auto"/>
          </w:tcPr>
          <w:p w14:paraId="05EC2CD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Frequency of relaxation peak</w:t>
            </w:r>
          </w:p>
        </w:tc>
      </w:tr>
      <w:tr w:rsidR="009F16AB" w:rsidRPr="009F16AB" w14:paraId="7B0A81EA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799AAF52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E44C3AB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0" w:type="auto"/>
          </w:tcPr>
          <w:p w14:paraId="6F1339B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Polarization factor</w:t>
            </w:r>
          </w:p>
        </w:tc>
        <w:tc>
          <w:tcPr>
            <w:tcW w:w="0" w:type="auto"/>
          </w:tcPr>
          <w:p w14:paraId="4F9AA72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Derived polarization parameter</w:t>
            </w:r>
          </w:p>
        </w:tc>
      </w:tr>
    </w:tbl>
    <w:p w14:paraId="5D26E18C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Calibri" w:eastAsia="等线" w:hAnsi="Calibri" w:cs="Times New Roman"/>
          <w:kern w:val="0"/>
          <w:sz w:val="22"/>
          <w:lang w:eastAsia="en-US"/>
        </w:rPr>
      </w:pPr>
    </w:p>
    <w:p w14:paraId="37A7954C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33174B7E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1FB7F42C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6F1EF5D4" w14:textId="54D39BF4" w:rsidR="009F16AB" w:rsidRPr="009F16AB" w:rsidRDefault="00C20E85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  <w:r w:rsidRPr="00C20E85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Supplementary Table 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4. Ferroelectric Properties</w:t>
      </w:r>
    </w:p>
    <w:p w14:paraId="11C9A88D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3"/>
        <w:gridCol w:w="1221"/>
        <w:gridCol w:w="2358"/>
        <w:gridCol w:w="2944"/>
      </w:tblGrid>
      <w:tr w:rsidR="009F16AB" w:rsidRPr="009F16AB" w14:paraId="7F62D66F" w14:textId="77777777" w:rsidTr="00DF406E">
        <w:trPr>
          <w:trHeight w:val="227"/>
          <w:jc w:val="center"/>
        </w:trPr>
        <w:tc>
          <w:tcPr>
            <w:tcW w:w="0" w:type="auto"/>
            <w:vAlign w:val="center"/>
          </w:tcPr>
          <w:p w14:paraId="0053D74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Category</w:t>
            </w:r>
          </w:p>
        </w:tc>
        <w:tc>
          <w:tcPr>
            <w:tcW w:w="0" w:type="auto"/>
            <w:vAlign w:val="center"/>
          </w:tcPr>
          <w:p w14:paraId="2B779A03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No.</w:t>
            </w:r>
          </w:p>
        </w:tc>
        <w:tc>
          <w:tcPr>
            <w:tcW w:w="0" w:type="auto"/>
            <w:vAlign w:val="center"/>
          </w:tcPr>
          <w:p w14:paraId="265C344B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Name</w:t>
            </w:r>
          </w:p>
        </w:tc>
        <w:tc>
          <w:tcPr>
            <w:tcW w:w="0" w:type="auto"/>
            <w:vAlign w:val="center"/>
          </w:tcPr>
          <w:p w14:paraId="3A4EE2E2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Description</w:t>
            </w:r>
          </w:p>
        </w:tc>
      </w:tr>
      <w:tr w:rsidR="009F16AB" w:rsidRPr="009F16AB" w14:paraId="3F695BA7" w14:textId="77777777" w:rsidTr="00DF406E">
        <w:trPr>
          <w:trHeight w:val="227"/>
          <w:jc w:val="center"/>
        </w:trPr>
        <w:tc>
          <w:tcPr>
            <w:tcW w:w="0" w:type="auto"/>
            <w:vMerge w:val="restart"/>
            <w:vAlign w:val="center"/>
          </w:tcPr>
          <w:p w14:paraId="0DC95477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en-US"/>
              </w:rPr>
              <w:t>Ferroelectric Properties</w:t>
            </w:r>
          </w:p>
        </w:tc>
        <w:tc>
          <w:tcPr>
            <w:tcW w:w="0" w:type="auto"/>
            <w:vAlign w:val="center"/>
          </w:tcPr>
          <w:p w14:paraId="7FBA21AF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0" w:type="auto"/>
          </w:tcPr>
          <w:p w14:paraId="22AB293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Remnant polarization (</w:t>
            </w: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Pr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0" w:type="auto"/>
          </w:tcPr>
          <w:p w14:paraId="1B58F986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Residual polarization</w:t>
            </w:r>
          </w:p>
        </w:tc>
      </w:tr>
      <w:tr w:rsidR="009F16AB" w:rsidRPr="009F16AB" w14:paraId="2E7751F5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47EDE49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C6672C9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0" w:type="auto"/>
          </w:tcPr>
          <w:p w14:paraId="514E2FE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Saturation polarization (Ps)</w:t>
            </w:r>
          </w:p>
        </w:tc>
        <w:tc>
          <w:tcPr>
            <w:tcW w:w="0" w:type="auto"/>
          </w:tcPr>
          <w:p w14:paraId="3F90BB8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Maximum polarization</w:t>
            </w:r>
          </w:p>
        </w:tc>
      </w:tr>
      <w:tr w:rsidR="009F16AB" w:rsidRPr="009F16AB" w14:paraId="7E3CD9D0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3290000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95D7564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0" w:type="auto"/>
          </w:tcPr>
          <w:p w14:paraId="716D524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Coercive field (</w:t>
            </w:r>
            <w:proofErr w:type="spellStart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Ec</w:t>
            </w:r>
            <w:proofErr w:type="spellEnd"/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0" w:type="auto"/>
          </w:tcPr>
          <w:p w14:paraId="09FB06B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Field required to switch polarization</w:t>
            </w:r>
          </w:p>
        </w:tc>
      </w:tr>
      <w:tr w:rsidR="009F16AB" w:rsidRPr="009F16AB" w14:paraId="06033DAE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7F7D0A2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AFA80B5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0" w:type="auto"/>
          </w:tcPr>
          <w:p w14:paraId="77288F2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Hysteresis loop area</w:t>
            </w:r>
          </w:p>
        </w:tc>
        <w:tc>
          <w:tcPr>
            <w:tcW w:w="0" w:type="auto"/>
          </w:tcPr>
          <w:p w14:paraId="6A0968B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Area enclosed in P–E loop</w:t>
            </w:r>
          </w:p>
        </w:tc>
      </w:tr>
      <w:tr w:rsidR="009F16AB" w:rsidRPr="009F16AB" w14:paraId="76E59BC9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4561DFBA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6D0C028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0" w:type="auto"/>
          </w:tcPr>
          <w:p w14:paraId="2168935A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Switching energy</w:t>
            </w:r>
          </w:p>
        </w:tc>
        <w:tc>
          <w:tcPr>
            <w:tcW w:w="0" w:type="auto"/>
          </w:tcPr>
          <w:p w14:paraId="43E9AED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Energy required for polarization switching</w:t>
            </w:r>
          </w:p>
        </w:tc>
      </w:tr>
      <w:tr w:rsidR="009F16AB" w:rsidRPr="009F16AB" w14:paraId="233C0C8E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61966FD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34E8F9B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0" w:type="auto"/>
          </w:tcPr>
          <w:p w14:paraId="57E8261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Polarization asymmetry</w:t>
            </w:r>
          </w:p>
        </w:tc>
        <w:tc>
          <w:tcPr>
            <w:tcW w:w="0" w:type="auto"/>
          </w:tcPr>
          <w:p w14:paraId="000A3912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Asymmetry in hysteresis loop</w:t>
            </w:r>
          </w:p>
        </w:tc>
      </w:tr>
      <w:tr w:rsidR="009F16AB" w:rsidRPr="009F16AB" w14:paraId="43BB5B9D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51BA7316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8DDEFC0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0" w:type="auto"/>
          </w:tcPr>
          <w:p w14:paraId="7543940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Domain switching rate</w:t>
            </w:r>
          </w:p>
        </w:tc>
        <w:tc>
          <w:tcPr>
            <w:tcW w:w="0" w:type="auto"/>
          </w:tcPr>
          <w:p w14:paraId="3C91E2EC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Rate of domain reversal</w:t>
            </w:r>
          </w:p>
        </w:tc>
      </w:tr>
      <w:tr w:rsidR="009F16AB" w:rsidRPr="009F16AB" w14:paraId="4C1F738F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05B674C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3A98DA4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0" w:type="auto"/>
          </w:tcPr>
          <w:p w14:paraId="5AABA6A4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Polarization stability</w:t>
            </w:r>
          </w:p>
        </w:tc>
        <w:tc>
          <w:tcPr>
            <w:tcW w:w="0" w:type="auto"/>
          </w:tcPr>
          <w:p w14:paraId="0624C829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Stability under electric field cycling</w:t>
            </w:r>
          </w:p>
        </w:tc>
      </w:tr>
      <w:tr w:rsidR="009F16AB" w:rsidRPr="009F16AB" w14:paraId="589BB3E2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6DA1044C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52EBF29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0" w:type="auto"/>
          </w:tcPr>
          <w:p w14:paraId="7D6862E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Leakage current density</w:t>
            </w:r>
          </w:p>
        </w:tc>
        <w:tc>
          <w:tcPr>
            <w:tcW w:w="0" w:type="auto"/>
          </w:tcPr>
          <w:p w14:paraId="28A838E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Electrical leakage behavior</w:t>
            </w:r>
          </w:p>
        </w:tc>
      </w:tr>
      <w:tr w:rsidR="009F16AB" w:rsidRPr="009F16AB" w14:paraId="15708A6A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6850C74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DF906DD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0" w:type="auto"/>
          </w:tcPr>
          <w:p w14:paraId="55894EF6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Ferroelectric coupling coefficient</w:t>
            </w:r>
          </w:p>
        </w:tc>
        <w:tc>
          <w:tcPr>
            <w:tcW w:w="0" w:type="auto"/>
          </w:tcPr>
          <w:p w14:paraId="0FA704D1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Coupling strength parameter</w:t>
            </w:r>
          </w:p>
        </w:tc>
      </w:tr>
    </w:tbl>
    <w:p w14:paraId="197AB8BC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Calibri" w:eastAsia="等线" w:hAnsi="Calibri" w:cs="Times New Roman"/>
          <w:kern w:val="0"/>
          <w:sz w:val="22"/>
          <w:lang w:eastAsia="en-US"/>
        </w:rPr>
      </w:pPr>
    </w:p>
    <w:p w14:paraId="140DCEEE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70C830A3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p w14:paraId="4AFED58D" w14:textId="494BA1E6" w:rsidR="009F16AB" w:rsidRPr="009F16AB" w:rsidRDefault="00C20E85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  <w:r w:rsidRPr="00C20E85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Supplementary Table 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5. Derived/Engineered Features</w:t>
      </w:r>
    </w:p>
    <w:p w14:paraId="2D535146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1"/>
        <w:gridCol w:w="1176"/>
        <w:gridCol w:w="2748"/>
        <w:gridCol w:w="2381"/>
      </w:tblGrid>
      <w:tr w:rsidR="009F16AB" w:rsidRPr="009F16AB" w14:paraId="62C7970D" w14:textId="77777777" w:rsidTr="00DF406E">
        <w:trPr>
          <w:trHeight w:val="227"/>
          <w:jc w:val="center"/>
        </w:trPr>
        <w:tc>
          <w:tcPr>
            <w:tcW w:w="0" w:type="auto"/>
            <w:vAlign w:val="center"/>
          </w:tcPr>
          <w:p w14:paraId="7061B61B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Category</w:t>
            </w:r>
          </w:p>
        </w:tc>
        <w:tc>
          <w:tcPr>
            <w:tcW w:w="0" w:type="auto"/>
            <w:vAlign w:val="center"/>
          </w:tcPr>
          <w:p w14:paraId="6F94152E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No.</w:t>
            </w:r>
          </w:p>
        </w:tc>
        <w:tc>
          <w:tcPr>
            <w:tcW w:w="0" w:type="auto"/>
            <w:vAlign w:val="center"/>
          </w:tcPr>
          <w:p w14:paraId="1EFD6ACB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Descriptor Name</w:t>
            </w:r>
          </w:p>
        </w:tc>
        <w:tc>
          <w:tcPr>
            <w:tcW w:w="0" w:type="auto"/>
            <w:vAlign w:val="center"/>
          </w:tcPr>
          <w:p w14:paraId="7AF6A291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US"/>
              </w:rPr>
              <w:t>Description</w:t>
            </w:r>
          </w:p>
        </w:tc>
      </w:tr>
      <w:tr w:rsidR="009F16AB" w:rsidRPr="009F16AB" w14:paraId="66F99997" w14:textId="77777777" w:rsidTr="00DF406E">
        <w:trPr>
          <w:trHeight w:val="227"/>
          <w:jc w:val="center"/>
        </w:trPr>
        <w:tc>
          <w:tcPr>
            <w:tcW w:w="0" w:type="auto"/>
            <w:vMerge w:val="restart"/>
            <w:vAlign w:val="center"/>
          </w:tcPr>
          <w:p w14:paraId="1DFAA9A9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en-US"/>
              </w:rPr>
              <w:t>Derived/Engineered Features</w:t>
            </w:r>
          </w:p>
        </w:tc>
        <w:tc>
          <w:tcPr>
            <w:tcW w:w="0" w:type="auto"/>
            <w:vAlign w:val="center"/>
          </w:tcPr>
          <w:p w14:paraId="344B8D5D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0" w:type="auto"/>
          </w:tcPr>
          <w:p w14:paraId="517B01E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Grain size / crystallite size ratio</w:t>
            </w:r>
          </w:p>
        </w:tc>
        <w:tc>
          <w:tcPr>
            <w:tcW w:w="0" w:type="auto"/>
          </w:tcPr>
          <w:p w14:paraId="7703C716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Microstructural relationship</w:t>
            </w:r>
          </w:p>
        </w:tc>
      </w:tr>
      <w:tr w:rsidR="009F16AB" w:rsidRPr="009F16AB" w14:paraId="06DADAAC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108626C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58A4982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0" w:type="auto"/>
          </w:tcPr>
          <w:p w14:paraId="2532AFF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Lattice distortion index</w:t>
            </w:r>
          </w:p>
        </w:tc>
        <w:tc>
          <w:tcPr>
            <w:tcW w:w="0" w:type="auto"/>
          </w:tcPr>
          <w:p w14:paraId="24951888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Structural distortion parameter</w:t>
            </w:r>
          </w:p>
        </w:tc>
      </w:tr>
      <w:tr w:rsidR="009F16AB" w:rsidRPr="009F16AB" w14:paraId="117DB105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1503B3F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A1C6033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0" w:type="auto"/>
          </w:tcPr>
          <w:p w14:paraId="3DA37153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Strain–polarization coupling</w:t>
            </w:r>
          </w:p>
        </w:tc>
        <w:tc>
          <w:tcPr>
            <w:tcW w:w="0" w:type="auto"/>
          </w:tcPr>
          <w:p w14:paraId="423F4D1A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Interaction parameter</w:t>
            </w:r>
          </w:p>
        </w:tc>
      </w:tr>
      <w:tr w:rsidR="009F16AB" w:rsidRPr="009F16AB" w14:paraId="3DF3D2D0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1DFCC6BD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56103CD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0" w:type="auto"/>
          </w:tcPr>
          <w:p w14:paraId="75DB795B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Density–dielectric correlation</w:t>
            </w:r>
          </w:p>
        </w:tc>
        <w:tc>
          <w:tcPr>
            <w:tcW w:w="0" w:type="auto"/>
          </w:tcPr>
          <w:p w14:paraId="7FCB868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Derived correlation metric</w:t>
            </w:r>
          </w:p>
        </w:tc>
      </w:tr>
      <w:tr w:rsidR="009F16AB" w:rsidRPr="009F16AB" w14:paraId="3671CF5D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4DEB483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63E0081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0" w:type="auto"/>
          </w:tcPr>
          <w:p w14:paraId="23A63A3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Temperature gradient factor</w:t>
            </w:r>
          </w:p>
        </w:tc>
        <w:tc>
          <w:tcPr>
            <w:tcW w:w="0" w:type="auto"/>
          </w:tcPr>
          <w:p w14:paraId="3B152D26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Processing temperature variation</w:t>
            </w:r>
          </w:p>
        </w:tc>
      </w:tr>
      <w:tr w:rsidR="009F16AB" w:rsidRPr="009F16AB" w14:paraId="64699454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472D045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50C6A7A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0" w:type="auto"/>
          </w:tcPr>
          <w:p w14:paraId="685DA13C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Dielectric dispersion factor</w:t>
            </w:r>
          </w:p>
        </w:tc>
        <w:tc>
          <w:tcPr>
            <w:tcW w:w="0" w:type="auto"/>
          </w:tcPr>
          <w:p w14:paraId="6AFF6F9C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Frequency dispersion metric</w:t>
            </w:r>
          </w:p>
        </w:tc>
      </w:tr>
      <w:tr w:rsidR="009F16AB" w:rsidRPr="009F16AB" w14:paraId="12A88261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416C40A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0F8C385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0" w:type="auto"/>
          </w:tcPr>
          <w:p w14:paraId="1271AD6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Ferroelectric switching index</w:t>
            </w:r>
          </w:p>
        </w:tc>
        <w:tc>
          <w:tcPr>
            <w:tcW w:w="0" w:type="auto"/>
          </w:tcPr>
          <w:p w14:paraId="2E15BAB5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Switching behavior indicator</w:t>
            </w:r>
          </w:p>
        </w:tc>
      </w:tr>
      <w:tr w:rsidR="009F16AB" w:rsidRPr="009F16AB" w14:paraId="1A16AB3C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659E87CC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DCC7EAB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0" w:type="auto"/>
          </w:tcPr>
          <w:p w14:paraId="79242CA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Structure–property coupling coefficient</w:t>
            </w:r>
          </w:p>
        </w:tc>
        <w:tc>
          <w:tcPr>
            <w:tcW w:w="0" w:type="auto"/>
          </w:tcPr>
          <w:p w14:paraId="7BD0F367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Correlation descriptor</w:t>
            </w:r>
          </w:p>
        </w:tc>
      </w:tr>
      <w:tr w:rsidR="009F16AB" w:rsidRPr="009F16AB" w14:paraId="180A9B73" w14:textId="77777777" w:rsidTr="00DF406E">
        <w:trPr>
          <w:trHeight w:val="227"/>
          <w:jc w:val="center"/>
        </w:trPr>
        <w:tc>
          <w:tcPr>
            <w:tcW w:w="0" w:type="auto"/>
            <w:vMerge/>
          </w:tcPr>
          <w:p w14:paraId="72B3D72A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8525333" w14:textId="77777777" w:rsidR="009F16AB" w:rsidRPr="009F16AB" w:rsidRDefault="009F16AB" w:rsidP="009F16AB">
            <w:pPr>
              <w:widowControl/>
              <w:spacing w:after="200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0" w:type="auto"/>
          </w:tcPr>
          <w:p w14:paraId="094ECFEE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Composite feature index</w:t>
            </w:r>
          </w:p>
        </w:tc>
        <w:tc>
          <w:tcPr>
            <w:tcW w:w="0" w:type="auto"/>
          </w:tcPr>
          <w:p w14:paraId="2F8B8F70" w14:textId="77777777" w:rsidR="009F16AB" w:rsidRPr="009F16AB" w:rsidRDefault="009F16AB" w:rsidP="009F16AB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9F16A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Combined engineered feature</w:t>
            </w:r>
          </w:p>
        </w:tc>
      </w:tr>
    </w:tbl>
    <w:p w14:paraId="69FA437F" w14:textId="77777777" w:rsidR="009F16AB" w:rsidRPr="009F16AB" w:rsidRDefault="009F16AB" w:rsidP="009F16AB">
      <w:pPr>
        <w:keepNext/>
        <w:keepLines/>
        <w:widowControl/>
        <w:spacing w:before="48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US"/>
        </w:rPr>
      </w:pPr>
    </w:p>
    <w:p w14:paraId="40FC4C3C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b/>
          <w:kern w:val="0"/>
          <w:sz w:val="18"/>
          <w:szCs w:val="18"/>
          <w:lang w:eastAsia="en-US"/>
        </w:rPr>
      </w:pPr>
      <w:r w:rsidRPr="009F16AB">
        <w:rPr>
          <w:rFonts w:ascii="Calibri" w:eastAsia="等线" w:hAnsi="Calibri" w:cs="Times New Roman"/>
          <w:noProof/>
          <w:kern w:val="0"/>
          <w:sz w:val="22"/>
          <w:lang w:eastAsia="en-US"/>
        </w:rPr>
        <w:drawing>
          <wp:inline distT="0" distB="0" distL="0" distR="0" wp14:anchorId="0300DCEE" wp14:editId="532851F4">
            <wp:extent cx="3933825" cy="2609850"/>
            <wp:effectExtent l="19050" t="0" r="9525" b="0"/>
            <wp:docPr id="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797" cy="2609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055F42" w14:textId="3BA6918F" w:rsidR="009F16AB" w:rsidRPr="009F16AB" w:rsidRDefault="00C20E85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  <w:r w:rsidRPr="00C20E85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Supplementary Fig.</w:t>
      </w:r>
      <w:r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 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1. Distribution of crystallite size in the dataset</w:t>
      </w:r>
    </w:p>
    <w:p w14:paraId="2B242911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Calibri" w:eastAsia="等线" w:hAnsi="Calibri" w:cs="Times New Roman"/>
          <w:kern w:val="0"/>
          <w:sz w:val="22"/>
          <w:lang w:eastAsia="en-US"/>
        </w:rPr>
      </w:pPr>
    </w:p>
    <w:p w14:paraId="25482C99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b/>
          <w:kern w:val="0"/>
          <w:sz w:val="18"/>
          <w:szCs w:val="18"/>
          <w:lang w:eastAsia="en-US"/>
        </w:rPr>
      </w:pPr>
    </w:p>
    <w:p w14:paraId="5CE39EA1" w14:textId="77777777" w:rsidR="009F16AB" w:rsidRPr="009F16AB" w:rsidRDefault="009F16AB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noProof/>
          <w:color w:val="0070C0"/>
          <w:kern w:val="0"/>
          <w:sz w:val="20"/>
          <w:szCs w:val="20"/>
          <w:lang w:eastAsia="en-US"/>
        </w:rPr>
      </w:pPr>
    </w:p>
    <w:p w14:paraId="23497768" w14:textId="28A3284C" w:rsidR="009F16AB" w:rsidRPr="009F16AB" w:rsidRDefault="004E1D55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b/>
          <w:kern w:val="0"/>
          <w:sz w:val="18"/>
          <w:szCs w:val="18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55BF1CE" wp14:editId="164DB784">
            <wp:simplePos x="0" y="0"/>
            <wp:positionH relativeFrom="column">
              <wp:posOffset>0</wp:posOffset>
            </wp:positionH>
            <wp:positionV relativeFrom="paragraph">
              <wp:posOffset>355600</wp:posOffset>
            </wp:positionV>
            <wp:extent cx="5274310" cy="3482975"/>
            <wp:effectExtent l="0" t="0" r="2540" b="3175"/>
            <wp:wrapTopAndBottom/>
            <wp:docPr id="11599689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8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76A05B" w14:textId="1A527A2F" w:rsidR="009F16AB" w:rsidRPr="009F16AB" w:rsidRDefault="00C20E85" w:rsidP="009F16AB">
      <w:pPr>
        <w:widowControl/>
        <w:spacing w:after="200" w:line="276" w:lineRule="auto"/>
        <w:jc w:val="center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  <w:r w:rsidRPr="00C20E85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Supplementary Fig.</w:t>
      </w:r>
      <w:r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 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2. Variation of crystallite size with sintering temperature for </w:t>
      </w:r>
      <w:proofErr w:type="spellStart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CaTiO</w:t>
      </w:r>
      <w:proofErr w:type="spellEnd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₃ nano-ceramics, indicating the effect of thermal processing on structural evolution.</w:t>
      </w:r>
    </w:p>
    <w:p w14:paraId="65F29926" w14:textId="77777777" w:rsidR="009F16AB" w:rsidRPr="009F16AB" w:rsidRDefault="009F16AB" w:rsidP="009F16AB">
      <w:pPr>
        <w:widowControl/>
        <w:tabs>
          <w:tab w:val="left" w:pos="5121"/>
        </w:tabs>
        <w:spacing w:after="200" w:line="276" w:lineRule="auto"/>
        <w:jc w:val="center"/>
        <w:rPr>
          <w:rFonts w:ascii="Times New Roman" w:eastAsia="等线" w:hAnsi="Times New Roman" w:cs="Times New Roman"/>
          <w:bCs/>
          <w:color w:val="FF0000"/>
          <w:kern w:val="0"/>
          <w:sz w:val="18"/>
          <w:szCs w:val="18"/>
          <w:lang w:eastAsia="en-US"/>
        </w:rPr>
      </w:pPr>
      <w:r w:rsidRPr="009F16AB">
        <w:rPr>
          <w:rFonts w:ascii="Times New Roman" w:eastAsia="等线" w:hAnsi="Times New Roman" w:cs="Times New Roman"/>
          <w:bCs/>
          <w:noProof/>
          <w:color w:val="FF0000"/>
          <w:kern w:val="0"/>
          <w:sz w:val="18"/>
          <w:szCs w:val="18"/>
          <w:lang w:eastAsia="en-US"/>
        </w:rPr>
        <w:drawing>
          <wp:inline distT="0" distB="0" distL="0" distR="0" wp14:anchorId="04E22B49" wp14:editId="73A33C8C">
            <wp:extent cx="4810582" cy="2816352"/>
            <wp:effectExtent l="19050" t="0" r="9068" b="0"/>
            <wp:docPr id="1" name="Picture 11" descr="C:\Users\SCP-BIT\Downloads\Figure_S3_updated_heat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CP-BIT\Downloads\Figure_S3_updated_heat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202" cy="281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EA3BB2" w14:textId="74EB3C2B" w:rsidR="009F16AB" w:rsidRPr="009F16AB" w:rsidRDefault="00C20E85" w:rsidP="009F16AB">
      <w:pPr>
        <w:widowControl/>
        <w:tabs>
          <w:tab w:val="left" w:pos="5121"/>
        </w:tabs>
        <w:spacing w:after="200"/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</w:pPr>
      <w:r w:rsidRPr="00C20E85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Supplementary Fig.</w:t>
      </w:r>
      <w:r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 </w:t>
      </w:r>
      <w:r w:rsidR="009F16AB" w:rsidRPr="009F16AB">
        <w:rPr>
          <w:rFonts w:ascii="Times New Roman" w:eastAsia="等线" w:hAnsi="Times New Roman" w:cs="Times New Roman"/>
          <w:bCs/>
          <w:kern w:val="0"/>
          <w:sz w:val="18"/>
          <w:szCs w:val="18"/>
          <w:lang w:eastAsia="en-US"/>
        </w:rPr>
        <w:t>3: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 xml:space="preserve"> Correlation heatmap illustrating the relationships among structural, dielectric, and ferroelectric parameters of </w:t>
      </w:r>
      <w:proofErr w:type="spellStart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CaTiO</w:t>
      </w:r>
      <w:proofErr w:type="spellEnd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₃ nano-ceramics, including crystallite size, lattice strain, dielectric constant (</w:t>
      </w:r>
      <w:proofErr w:type="spellStart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ε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vertAlign w:val="subscript"/>
          <w:lang w:eastAsia="en-US"/>
        </w:rPr>
        <w:t>r</w:t>
      </w:r>
      <w:proofErr w:type="spellEnd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), loss tangent (tan δ), remanent polarization (</w:t>
      </w:r>
      <w:proofErr w:type="spellStart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P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vertAlign w:val="subscript"/>
          <w:lang w:eastAsia="en-US"/>
        </w:rPr>
        <w:t>r</w:t>
      </w:r>
      <w:proofErr w:type="spellEnd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), and coercive field (</w:t>
      </w:r>
      <w:proofErr w:type="spellStart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E</w:t>
      </w:r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vertAlign w:val="subscript"/>
          <w:lang w:eastAsia="en-US"/>
        </w:rPr>
        <w:t>c</w:t>
      </w:r>
      <w:proofErr w:type="spellEnd"/>
      <w:r w:rsidR="009F16AB" w:rsidRPr="009F16AB">
        <w:rPr>
          <w:rFonts w:ascii="Times New Roman" w:eastAsia="等线" w:hAnsi="Times New Roman" w:cs="Times New Roman"/>
          <w:kern w:val="0"/>
          <w:sz w:val="18"/>
          <w:szCs w:val="18"/>
          <w:lang w:eastAsia="en-US"/>
        </w:rPr>
        <w:t>).</w:t>
      </w:r>
    </w:p>
    <w:p w14:paraId="5618A64B" w14:textId="77777777" w:rsidR="00C11A31" w:rsidRPr="009F16AB" w:rsidRDefault="00C11A31">
      <w:pPr>
        <w:rPr>
          <w:rFonts w:hint="eastAsia"/>
        </w:rPr>
      </w:pPr>
    </w:p>
    <w:sectPr w:rsidR="00C11A31" w:rsidRPr="009F16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B40A6" w14:textId="77777777" w:rsidR="005B720A" w:rsidRDefault="005B720A" w:rsidP="009F16AB">
      <w:pPr>
        <w:rPr>
          <w:rFonts w:hint="eastAsia"/>
        </w:rPr>
      </w:pPr>
      <w:r>
        <w:separator/>
      </w:r>
    </w:p>
  </w:endnote>
  <w:endnote w:type="continuationSeparator" w:id="0">
    <w:p w14:paraId="57D2038C" w14:textId="77777777" w:rsidR="005B720A" w:rsidRDefault="005B720A" w:rsidP="009F16A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8DF4B" w14:textId="77777777" w:rsidR="005B720A" w:rsidRDefault="005B720A" w:rsidP="009F16AB">
      <w:pPr>
        <w:rPr>
          <w:rFonts w:hint="eastAsia"/>
        </w:rPr>
      </w:pPr>
      <w:r>
        <w:separator/>
      </w:r>
    </w:p>
  </w:footnote>
  <w:footnote w:type="continuationSeparator" w:id="0">
    <w:p w14:paraId="4BA6D833" w14:textId="77777777" w:rsidR="005B720A" w:rsidRDefault="005B720A" w:rsidP="009F16A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78"/>
    <w:rsid w:val="00075DC6"/>
    <w:rsid w:val="00367217"/>
    <w:rsid w:val="004B52F1"/>
    <w:rsid w:val="004E1D55"/>
    <w:rsid w:val="004E752C"/>
    <w:rsid w:val="00527570"/>
    <w:rsid w:val="005B0FBD"/>
    <w:rsid w:val="005B720A"/>
    <w:rsid w:val="00767D9C"/>
    <w:rsid w:val="00794BCF"/>
    <w:rsid w:val="00937083"/>
    <w:rsid w:val="009F16AB"/>
    <w:rsid w:val="00AB46B5"/>
    <w:rsid w:val="00B02C78"/>
    <w:rsid w:val="00B96D67"/>
    <w:rsid w:val="00C11A31"/>
    <w:rsid w:val="00C2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03D8F1"/>
  <w15:chartTrackingRefBased/>
  <w15:docId w15:val="{B614C677-C1D6-471B-A86F-10CAF2B6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1" w:qFormat="1"/>
    <w:lsdException w:name="heading 2" w:semiHidden="1" w:uiPriority="11" w:unhideWhenUsed="1" w:qFormat="1"/>
    <w:lsdException w:name="heading 3" w:semiHidden="1" w:uiPriority="11" w:unhideWhenUsed="1" w:qFormat="1"/>
    <w:lsdException w:name="heading 4" w:semiHidden="1" w:uiPriority="1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2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Heading level 1"/>
    <w:basedOn w:val="a"/>
    <w:next w:val="a"/>
    <w:link w:val="10"/>
    <w:uiPriority w:val="11"/>
    <w:qFormat/>
    <w:rsid w:val="004B52F1"/>
    <w:pPr>
      <w:keepNext/>
      <w:keepLines/>
      <w:widowControl/>
      <w:adjustRightInd w:val="0"/>
      <w:snapToGrid w:val="0"/>
      <w:spacing w:before="360" w:after="360"/>
      <w:outlineLvl w:val="0"/>
    </w:pPr>
    <w:rPr>
      <w:rFonts w:ascii="Times New Roman" w:eastAsia="Times New Roman" w:hAnsi="Times New Roman" w:cs="Times New Roman"/>
      <w:b/>
      <w:bCs/>
      <w:noProof/>
      <w:color w:val="000000"/>
      <w:kern w:val="44"/>
      <w:sz w:val="24"/>
      <w:szCs w:val="24"/>
    </w:rPr>
  </w:style>
  <w:style w:type="paragraph" w:styleId="2">
    <w:name w:val="heading 2"/>
    <w:aliases w:val="Heading level 2"/>
    <w:basedOn w:val="a"/>
    <w:next w:val="a"/>
    <w:link w:val="20"/>
    <w:uiPriority w:val="11"/>
    <w:qFormat/>
    <w:rsid w:val="004B52F1"/>
    <w:pPr>
      <w:keepNext/>
      <w:keepLines/>
      <w:widowControl/>
      <w:adjustRightInd w:val="0"/>
      <w:snapToGrid w:val="0"/>
      <w:spacing w:before="240" w:after="240"/>
      <w:outlineLvl w:val="1"/>
    </w:pPr>
    <w:rPr>
      <w:rFonts w:ascii="Times New Roman" w:eastAsia="Times New Roman" w:hAnsi="Times New Roman" w:cs="Times New Roman"/>
      <w:b/>
      <w:bCs/>
      <w:noProof/>
      <w:color w:val="000000"/>
      <w:kern w:val="0"/>
      <w:szCs w:val="21"/>
    </w:rPr>
  </w:style>
  <w:style w:type="paragraph" w:styleId="3">
    <w:name w:val="heading 3"/>
    <w:aliases w:val="Heading level 3"/>
    <w:basedOn w:val="a"/>
    <w:next w:val="a"/>
    <w:link w:val="30"/>
    <w:uiPriority w:val="11"/>
    <w:qFormat/>
    <w:rsid w:val="004B52F1"/>
    <w:pPr>
      <w:keepNext/>
      <w:keepLines/>
      <w:widowControl/>
      <w:adjustRightInd w:val="0"/>
      <w:snapToGrid w:val="0"/>
      <w:spacing w:before="160" w:after="160"/>
      <w:outlineLvl w:val="2"/>
    </w:pPr>
    <w:rPr>
      <w:rFonts w:ascii="Times New Roman" w:eastAsia="Times New Roman" w:hAnsi="Times New Roman" w:cs="Times New Roman"/>
      <w:bCs/>
      <w:noProof/>
      <w:color w:val="000000"/>
      <w:kern w:val="0"/>
      <w:szCs w:val="21"/>
    </w:rPr>
  </w:style>
  <w:style w:type="paragraph" w:styleId="4">
    <w:name w:val="heading 4"/>
    <w:aliases w:val="Heading level 4"/>
    <w:basedOn w:val="a"/>
    <w:next w:val="a"/>
    <w:link w:val="40"/>
    <w:uiPriority w:val="11"/>
    <w:rsid w:val="004B52F1"/>
    <w:pPr>
      <w:keepNext/>
      <w:keepLines/>
      <w:widowControl/>
      <w:adjustRightInd w:val="0"/>
      <w:snapToGrid w:val="0"/>
      <w:spacing w:before="120" w:after="120"/>
      <w:outlineLvl w:val="3"/>
    </w:pPr>
    <w:rPr>
      <w:rFonts w:ascii="Times New Roman" w:eastAsia="Times New Roman" w:hAnsi="Times New Roman" w:cs="Times New Roman"/>
      <w:bCs/>
      <w:noProof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Abstract"/>
    <w:next w:val="a"/>
    <w:uiPriority w:val="9"/>
    <w:qFormat/>
    <w:rsid w:val="004B52F1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Academiceditor">
    <w:name w:val="Academic editor"/>
    <w:uiPriority w:val="6"/>
    <w:qFormat/>
    <w:rsid w:val="004B52F1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Affiliation">
    <w:name w:val="Affiliation"/>
    <w:uiPriority w:val="3"/>
    <w:qFormat/>
    <w:rsid w:val="004B52F1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Articletitle">
    <w:name w:val="Article title"/>
    <w:next w:val="a"/>
    <w:uiPriority w:val="1"/>
    <w:qFormat/>
    <w:rsid w:val="004B52F1"/>
    <w:pPr>
      <w:adjustRightInd w:val="0"/>
      <w:snapToGrid w:val="0"/>
      <w:jc w:val="both"/>
    </w:pPr>
    <w:rPr>
      <w:rFonts w:ascii="Times New Roman" w:eastAsia="Times New Roman" w:hAnsi="Times New Roman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Articletype">
    <w:name w:val="Article type"/>
    <w:next w:val="a"/>
    <w:qFormat/>
    <w:rsid w:val="004B52F1"/>
    <w:pPr>
      <w:adjustRightInd w:val="0"/>
      <w:snapToGrid w:val="0"/>
    </w:pPr>
    <w:rPr>
      <w:rFonts w:ascii="Times New Roman" w:eastAsia="Times New Roman" w:hAnsi="Times New Roman" w:cs="Times New Roman"/>
      <w:i/>
      <w:snapToGrid w:val="0"/>
      <w:color w:val="000000"/>
      <w:kern w:val="0"/>
      <w:sz w:val="20"/>
      <w:lang w:eastAsia="de-DE" w:bidi="en-US"/>
    </w:rPr>
  </w:style>
  <w:style w:type="paragraph" w:customStyle="1" w:styleId="Authornames">
    <w:name w:val="Authornames"/>
    <w:next w:val="a"/>
    <w:uiPriority w:val="2"/>
    <w:qFormat/>
    <w:rsid w:val="004B52F1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Backmatter">
    <w:name w:val="Back matter"/>
    <w:uiPriority w:val="18"/>
    <w:qFormat/>
    <w:rsid w:val="004B52F1"/>
    <w:pPr>
      <w:adjustRightInd w:val="0"/>
      <w:snapToGrid w:val="0"/>
      <w:spacing w:beforeLines="50" w:before="50" w:afterLines="50" w:after="50"/>
      <w:jc w:val="both"/>
    </w:pPr>
    <w:rPr>
      <w:rFonts w:ascii="Times New Roman" w:eastAsia="Times New Roman" w:hAnsi="Times New Roman" w:cs="Times New Roman"/>
      <w:b/>
      <w:snapToGrid w:val="0"/>
      <w:color w:val="000000"/>
      <w:kern w:val="0"/>
      <w:sz w:val="24"/>
      <w:szCs w:val="24"/>
      <w:lang w:eastAsia="en-US" w:bidi="en-US"/>
    </w:rPr>
  </w:style>
  <w:style w:type="paragraph" w:customStyle="1" w:styleId="Backmattertext">
    <w:name w:val="Back matter text"/>
    <w:link w:val="Backmattertext0"/>
    <w:uiPriority w:val="19"/>
    <w:qFormat/>
    <w:rsid w:val="004B52F1"/>
    <w:pPr>
      <w:adjustRightInd w:val="0"/>
      <w:snapToGrid w:val="0"/>
      <w:spacing w:line="340" w:lineRule="exact"/>
      <w:ind w:firstLineChars="200" w:firstLine="200"/>
      <w:jc w:val="both"/>
    </w:pPr>
    <w:rPr>
      <w:rFonts w:ascii="Times New Roman" w:eastAsia="Times New Roman" w:hAnsi="Times New Roman" w:cs="Times New Roman"/>
      <w:snapToGrid w:val="0"/>
      <w:color w:val="000000"/>
      <w:kern w:val="0"/>
      <w:lang w:eastAsia="de-DE" w:bidi="en-US"/>
    </w:rPr>
  </w:style>
  <w:style w:type="character" w:customStyle="1" w:styleId="Backmattertext0">
    <w:name w:val="Back matter text 字符"/>
    <w:basedOn w:val="a0"/>
    <w:link w:val="Backmattertext"/>
    <w:uiPriority w:val="19"/>
    <w:rsid w:val="004B52F1"/>
    <w:rPr>
      <w:rFonts w:ascii="Times New Roman" w:eastAsia="Times New Roman" w:hAnsi="Times New Roman" w:cs="Times New Roman"/>
      <w:snapToGrid w:val="0"/>
      <w:color w:val="000000"/>
      <w:kern w:val="0"/>
      <w:lang w:eastAsia="de-DE" w:bidi="en-US"/>
    </w:rPr>
  </w:style>
  <w:style w:type="paragraph" w:customStyle="1" w:styleId="Blockquote">
    <w:name w:val="Block quote"/>
    <w:basedOn w:val="Articletype"/>
    <w:uiPriority w:val="17"/>
    <w:qFormat/>
    <w:rsid w:val="004B52F1"/>
    <w:pPr>
      <w:spacing w:before="240" w:after="240" w:line="340" w:lineRule="exact"/>
      <w:ind w:left="720"/>
      <w:jc w:val="both"/>
    </w:pPr>
    <w:rPr>
      <w:i w:val="0"/>
      <w:sz w:val="21"/>
      <w:szCs w:val="21"/>
    </w:rPr>
  </w:style>
  <w:style w:type="paragraph" w:customStyle="1" w:styleId="E-mail">
    <w:name w:val="E-mail"/>
    <w:link w:val="E-mail0"/>
    <w:uiPriority w:val="5"/>
    <w:qFormat/>
    <w:rsid w:val="004B52F1"/>
    <w:pPr>
      <w:adjustRightInd w:val="0"/>
      <w:snapToGrid w:val="0"/>
      <w:spacing w:line="340" w:lineRule="exact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character" w:customStyle="1" w:styleId="E-mail0">
    <w:name w:val="E-mail 字符"/>
    <w:basedOn w:val="a0"/>
    <w:link w:val="E-mail"/>
    <w:uiPriority w:val="5"/>
    <w:rsid w:val="004B52F1"/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Equation">
    <w:name w:val="Equation"/>
    <w:uiPriority w:val="17"/>
    <w:qFormat/>
    <w:rsid w:val="004B52F1"/>
    <w:pPr>
      <w:adjustRightInd w:val="0"/>
      <w:snapToGrid w:val="0"/>
      <w:spacing w:before="60" w:after="60" w:line="340" w:lineRule="exact"/>
      <w:ind w:left="709"/>
      <w:jc w:val="center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Figure">
    <w:name w:val="Figure"/>
    <w:uiPriority w:val="16"/>
    <w:qFormat/>
    <w:rsid w:val="004B52F1"/>
    <w:pPr>
      <w:adjustRightInd w:val="0"/>
      <w:snapToGrid w:val="0"/>
      <w:jc w:val="center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Figurecaption">
    <w:name w:val="Figure caption"/>
    <w:uiPriority w:val="16"/>
    <w:qFormat/>
    <w:rsid w:val="004B52F1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Frontmatter">
    <w:name w:val="Front matter"/>
    <w:uiPriority w:val="8"/>
    <w:qFormat/>
    <w:rsid w:val="004B52F1"/>
    <w:pPr>
      <w:adjustRightInd w:val="0"/>
      <w:snapToGrid w:val="0"/>
      <w:spacing w:beforeLines="50" w:before="50" w:afterLines="50" w:after="50"/>
      <w:jc w:val="both"/>
    </w:pPr>
    <w:rPr>
      <w:rFonts w:ascii="Times New Roman" w:eastAsia="Times New Roman" w:hAnsi="Times New Roman" w:cs="Times New Roman"/>
      <w:b/>
      <w:snapToGrid w:val="0"/>
      <w:color w:val="000000"/>
      <w:kern w:val="0"/>
      <w:sz w:val="24"/>
      <w:lang w:eastAsia="de-DE" w:bidi="en-US"/>
    </w:rPr>
  </w:style>
  <w:style w:type="paragraph" w:customStyle="1" w:styleId="Historytime">
    <w:name w:val="History time"/>
    <w:next w:val="Articletype"/>
    <w:uiPriority w:val="7"/>
    <w:qFormat/>
    <w:rsid w:val="004B52F1"/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Keywords">
    <w:name w:val="Keywords"/>
    <w:next w:val="a"/>
    <w:link w:val="Keywords0"/>
    <w:uiPriority w:val="10"/>
    <w:qFormat/>
    <w:rsid w:val="004B52F1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character" w:customStyle="1" w:styleId="Keywords0">
    <w:name w:val="Keywords 字符"/>
    <w:basedOn w:val="a0"/>
    <w:link w:val="Keywords"/>
    <w:uiPriority w:val="10"/>
    <w:rsid w:val="004B52F1"/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Reference">
    <w:name w:val="Reference"/>
    <w:link w:val="Reference0"/>
    <w:uiPriority w:val="19"/>
    <w:qFormat/>
    <w:rsid w:val="004B52F1"/>
    <w:pPr>
      <w:adjustRightInd w:val="0"/>
      <w:snapToGrid w:val="0"/>
      <w:spacing w:line="340" w:lineRule="exact"/>
      <w:ind w:left="200" w:hangingChars="200" w:hanging="200"/>
      <w:jc w:val="both"/>
    </w:pPr>
    <w:rPr>
      <w:rFonts w:ascii="Times New Roman" w:eastAsia="Times New Roman" w:hAnsi="Times New Roman" w:cs="Times New Roman"/>
      <w:snapToGrid w:val="0"/>
      <w:color w:val="000000"/>
      <w:kern w:val="0"/>
      <w:sz w:val="18"/>
      <w:szCs w:val="21"/>
      <w:lang w:eastAsia="de-DE" w:bidi="en-US"/>
    </w:rPr>
  </w:style>
  <w:style w:type="character" w:customStyle="1" w:styleId="Reference0">
    <w:name w:val="Reference 字符"/>
    <w:basedOn w:val="Keywords0"/>
    <w:link w:val="Reference"/>
    <w:uiPriority w:val="19"/>
    <w:rsid w:val="004B52F1"/>
    <w:rPr>
      <w:rFonts w:ascii="Times New Roman" w:eastAsia="Times New Roman" w:hAnsi="Times New Roman" w:cs="Times New Roman"/>
      <w:snapToGrid w:val="0"/>
      <w:color w:val="000000"/>
      <w:kern w:val="0"/>
      <w:sz w:val="18"/>
      <w:szCs w:val="21"/>
      <w:lang w:eastAsia="de-DE" w:bidi="en-US"/>
    </w:rPr>
  </w:style>
  <w:style w:type="paragraph" w:customStyle="1" w:styleId="Tablebody">
    <w:name w:val="Table body"/>
    <w:uiPriority w:val="13"/>
    <w:qFormat/>
    <w:rsid w:val="004B52F1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Tablecaption">
    <w:name w:val="Table caption"/>
    <w:uiPriority w:val="14"/>
    <w:qFormat/>
    <w:rsid w:val="004B52F1"/>
    <w:pPr>
      <w:adjustRightInd w:val="0"/>
      <w:snapToGrid w:val="0"/>
      <w:spacing w:beforeLines="100" w:before="100" w:afterLines="100" w:after="100"/>
      <w:jc w:val="center"/>
    </w:pPr>
    <w:rPr>
      <w:rFonts w:ascii="Times New Roman" w:eastAsia="Times New Roman" w:hAnsi="Times New Roman" w:cs="Times New Roman"/>
      <w:b/>
      <w:noProof/>
      <w:color w:val="000000"/>
      <w:kern w:val="0"/>
      <w:szCs w:val="24"/>
      <w:lang w:bidi="en-US"/>
    </w:rPr>
  </w:style>
  <w:style w:type="paragraph" w:customStyle="1" w:styleId="Tablefooter">
    <w:name w:val="Table footer"/>
    <w:next w:val="a"/>
    <w:uiPriority w:val="15"/>
    <w:qFormat/>
    <w:rsid w:val="004B52F1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Text">
    <w:name w:val="Text"/>
    <w:link w:val="Text0"/>
    <w:uiPriority w:val="12"/>
    <w:qFormat/>
    <w:rsid w:val="004B52F1"/>
    <w:pPr>
      <w:adjustRightInd w:val="0"/>
      <w:snapToGrid w:val="0"/>
      <w:spacing w:line="340" w:lineRule="exact"/>
      <w:ind w:firstLineChars="200" w:firstLine="200"/>
      <w:jc w:val="both"/>
    </w:pPr>
    <w:rPr>
      <w:rFonts w:ascii="Times New Roman" w:eastAsia="Times New Roman" w:hAnsi="Times New Roman" w:cs="Times New Roman"/>
      <w:snapToGrid w:val="0"/>
      <w:color w:val="000000"/>
      <w:kern w:val="0"/>
      <w:szCs w:val="28"/>
      <w:lang w:eastAsia="de-DE" w:bidi="en-US"/>
    </w:rPr>
  </w:style>
  <w:style w:type="character" w:customStyle="1" w:styleId="10">
    <w:name w:val="标题 1 字符"/>
    <w:aliases w:val="Heading level 1 字符"/>
    <w:basedOn w:val="a0"/>
    <w:link w:val="1"/>
    <w:uiPriority w:val="11"/>
    <w:rsid w:val="004B52F1"/>
    <w:rPr>
      <w:rFonts w:ascii="Times New Roman" w:eastAsia="Times New Roman" w:hAnsi="Times New Roman" w:cs="Times New Roman"/>
      <w:b/>
      <w:bCs/>
      <w:noProof/>
      <w:color w:val="000000"/>
      <w:kern w:val="44"/>
      <w:sz w:val="24"/>
      <w:szCs w:val="24"/>
    </w:rPr>
  </w:style>
  <w:style w:type="character" w:customStyle="1" w:styleId="20">
    <w:name w:val="标题 2 字符"/>
    <w:aliases w:val="Heading level 2 字符"/>
    <w:basedOn w:val="a0"/>
    <w:link w:val="2"/>
    <w:uiPriority w:val="11"/>
    <w:rsid w:val="004B52F1"/>
    <w:rPr>
      <w:rFonts w:ascii="Times New Roman" w:eastAsia="Times New Roman" w:hAnsi="Times New Roman" w:cs="Times New Roman"/>
      <w:b/>
      <w:bCs/>
      <w:noProof/>
      <w:color w:val="000000"/>
      <w:kern w:val="0"/>
      <w:szCs w:val="21"/>
    </w:rPr>
  </w:style>
  <w:style w:type="character" w:customStyle="1" w:styleId="30">
    <w:name w:val="标题 3 字符"/>
    <w:aliases w:val="Heading level 3 字符"/>
    <w:basedOn w:val="a0"/>
    <w:link w:val="3"/>
    <w:uiPriority w:val="11"/>
    <w:rsid w:val="004B52F1"/>
    <w:rPr>
      <w:rFonts w:ascii="Times New Roman" w:eastAsia="Times New Roman" w:hAnsi="Times New Roman" w:cs="Times New Roman"/>
      <w:bCs/>
      <w:noProof/>
      <w:color w:val="000000"/>
      <w:kern w:val="0"/>
      <w:szCs w:val="21"/>
    </w:rPr>
  </w:style>
  <w:style w:type="character" w:customStyle="1" w:styleId="Text0">
    <w:name w:val="Text 字符"/>
    <w:basedOn w:val="a0"/>
    <w:link w:val="Text"/>
    <w:uiPriority w:val="12"/>
    <w:rsid w:val="004B52F1"/>
    <w:rPr>
      <w:rFonts w:ascii="Times New Roman" w:eastAsia="Times New Roman" w:hAnsi="Times New Roman" w:cs="Times New Roman"/>
      <w:snapToGrid w:val="0"/>
      <w:color w:val="000000"/>
      <w:kern w:val="0"/>
      <w:szCs w:val="28"/>
      <w:lang w:eastAsia="de-DE" w:bidi="en-US"/>
    </w:rPr>
  </w:style>
  <w:style w:type="paragraph" w:styleId="a3">
    <w:name w:val="annotation text"/>
    <w:aliases w:val="Comment"/>
    <w:basedOn w:val="a"/>
    <w:link w:val="a4"/>
    <w:uiPriority w:val="20"/>
    <w:qFormat/>
    <w:rsid w:val="004B52F1"/>
    <w:pPr>
      <w:widowControl/>
      <w:adjustRightInd w:val="0"/>
      <w:snapToGrid w:val="0"/>
      <w:jc w:val="left"/>
    </w:pPr>
    <w:rPr>
      <w:rFonts w:ascii="Times New Roman" w:eastAsia="Times New Roman" w:hAnsi="Times New Roman" w:cs="Times New Roman"/>
      <w:kern w:val="0"/>
      <w:szCs w:val="21"/>
      <w:lang w:eastAsia="es-ES"/>
    </w:rPr>
  </w:style>
  <w:style w:type="character" w:customStyle="1" w:styleId="a4">
    <w:name w:val="批注文字 字符"/>
    <w:aliases w:val="Comment 字符"/>
    <w:basedOn w:val="a0"/>
    <w:link w:val="a3"/>
    <w:uiPriority w:val="20"/>
    <w:qFormat/>
    <w:rsid w:val="004B52F1"/>
    <w:rPr>
      <w:rFonts w:ascii="Times New Roman" w:eastAsia="Times New Roman" w:hAnsi="Times New Roman" w:cs="Times New Roman"/>
      <w:kern w:val="0"/>
      <w:szCs w:val="21"/>
      <w:lang w:eastAsia="es-ES"/>
    </w:rPr>
  </w:style>
  <w:style w:type="character" w:customStyle="1" w:styleId="40">
    <w:name w:val="标题 4 字符"/>
    <w:aliases w:val="Heading level 4 字符"/>
    <w:basedOn w:val="a0"/>
    <w:link w:val="4"/>
    <w:uiPriority w:val="11"/>
    <w:rsid w:val="004B52F1"/>
    <w:rPr>
      <w:rFonts w:ascii="Times New Roman" w:eastAsia="Times New Roman" w:hAnsi="Times New Roman" w:cs="Times New Roman"/>
      <w:bCs/>
      <w:noProof/>
      <w:color w:val="000000"/>
      <w:kern w:val="0"/>
      <w:szCs w:val="21"/>
    </w:rPr>
  </w:style>
  <w:style w:type="paragraph" w:styleId="a5">
    <w:name w:val="header"/>
    <w:basedOn w:val="a"/>
    <w:link w:val="a6"/>
    <w:uiPriority w:val="99"/>
    <w:unhideWhenUsed/>
    <w:rsid w:val="009F16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F16A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F16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F16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531</Words>
  <Characters>3399</Characters>
  <Application>Microsoft Office Word</Application>
  <DocSecurity>0</DocSecurity>
  <Lines>283</Lines>
  <Paragraphs>206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</dc:creator>
  <cp:keywords/>
  <dc:description/>
  <cp:lastModifiedBy>Sophia</cp:lastModifiedBy>
  <cp:revision>5</cp:revision>
  <dcterms:created xsi:type="dcterms:W3CDTF">2026-06-01T08:01:00Z</dcterms:created>
  <dcterms:modified xsi:type="dcterms:W3CDTF">2026-08-05T05:37:00Z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b5f7f03a-2463-477e-8ccb-bcacf25f4947</vt:lpwstr>
  </property>
</Properties>
</file>